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839A" w14:textId="17AE42B4" w:rsidR="00CC480C" w:rsidRDefault="00CC480C" w:rsidP="00CC480C">
      <w:pPr>
        <w:jc w:val="center"/>
        <w:rPr>
          <w:b/>
        </w:rPr>
      </w:pPr>
      <w:r>
        <w:rPr>
          <w:b/>
        </w:rPr>
        <w:t xml:space="preserve">Johnson and </w:t>
      </w:r>
      <w:bookmarkStart w:id="0" w:name="_GoBack"/>
      <w:bookmarkEnd w:id="0"/>
      <w:r>
        <w:rPr>
          <w:b/>
        </w:rPr>
        <w:t>Johnson</w:t>
      </w:r>
      <w:r>
        <w:rPr>
          <w:rStyle w:val="FootnoteReference"/>
          <w:b/>
        </w:rPr>
        <w:footnoteReference w:id="1"/>
      </w:r>
      <w:r>
        <w:rPr>
          <w:b/>
        </w:rPr>
        <w:br/>
      </w:r>
      <w:r>
        <w:rPr>
          <w:b/>
        </w:rPr>
        <w:t>Forward Market Multiple Market Study</w:t>
      </w:r>
      <w:r>
        <w:rPr>
          <w:rStyle w:val="FootnoteReference"/>
          <w:b/>
        </w:rPr>
        <w:footnoteReference w:id="2"/>
      </w:r>
    </w:p>
    <w:p w14:paraId="61142344" w14:textId="04D4A786" w:rsidR="0022292B" w:rsidRPr="00E04C6C" w:rsidRDefault="0022292B" w:rsidP="0022292B">
      <w:pPr>
        <w:spacing w:after="0" w:line="240" w:lineRule="auto"/>
        <w:jc w:val="center"/>
        <w:rPr>
          <w:b/>
        </w:rPr>
      </w:pPr>
    </w:p>
    <w:p w14:paraId="16224F59" w14:textId="0CE147B2" w:rsidR="00562186" w:rsidRDefault="00102C75" w:rsidP="00594E4D">
      <w:r>
        <w:t xml:space="preserve">Your valuation consultancy has been retained to perform a valuation of Johnson and Johnson (JNJ), a cash-rich, publicly-traded consumer </w:t>
      </w:r>
      <w:r w:rsidR="00C24F73">
        <w:t xml:space="preserve">pharmaceutical </w:t>
      </w:r>
      <w:r>
        <w:t>products firm domiciled in the US.  The firm is the subject of a possible investment by your client, a well-known hedge fund with an activist invest</w:t>
      </w:r>
      <w:r w:rsidR="00097947">
        <w:t>or</w:t>
      </w:r>
      <w:r>
        <w:t xml:space="preserve"> strategy.  The investment would be the largest the firm has entertained and as such you’ve been called on to provide your best estimate of JNJ’s value</w:t>
      </w:r>
      <w:r w:rsidR="00562186">
        <w:t xml:space="preserve">.  You’ve chosen to consider the firm’s value using a Forward Market Multiple valuation based on the firm’s free cash flow </w:t>
      </w:r>
      <w:r w:rsidR="00914749">
        <w:t xml:space="preserve">(FCF) </w:t>
      </w:r>
      <w:r w:rsidR="00562186">
        <w:t>and EV/EBIT multiple</w:t>
      </w:r>
      <w:r w:rsidR="00097947">
        <w:t>,</w:t>
      </w:r>
      <w:r w:rsidR="001D379F">
        <w:t xml:space="preserve"> and intend to use the firm’s weighted average cost of capital as a reasonable discount rate</w:t>
      </w:r>
      <w:r w:rsidR="00562186">
        <w:t>.</w:t>
      </w:r>
      <w:r>
        <w:t xml:space="preserve"> </w:t>
      </w:r>
    </w:p>
    <w:p w14:paraId="3D4AD1A3" w14:textId="3988407F" w:rsidR="00D80F09" w:rsidRDefault="00562186" w:rsidP="00594E4D">
      <w:r>
        <w:t>In addition to gathering select data from industry analysts covering the firm, you’ve identified the following important information to assist you in your valuation:</w:t>
      </w:r>
      <w:r w:rsidR="00102C75">
        <w:t xml:space="preserve"> </w:t>
      </w:r>
    </w:p>
    <w:p w14:paraId="7A593EEA" w14:textId="77777777" w:rsidR="00C24F73" w:rsidRDefault="00D80F09" w:rsidP="000A6ED2">
      <w:pPr>
        <w:pStyle w:val="ListParagraph"/>
        <w:numPr>
          <w:ilvl w:val="0"/>
          <w:numId w:val="2"/>
        </w:numPr>
      </w:pPr>
      <w:r>
        <w:t>The firm</w:t>
      </w:r>
      <w:r w:rsidR="00C24F73">
        <w:t xml:space="preserve">’s </w:t>
      </w:r>
      <w:r>
        <w:t xml:space="preserve">EV/EBIT valuation multiple </w:t>
      </w:r>
      <w:r w:rsidR="00C24F73">
        <w:t xml:space="preserve">has ranged from </w:t>
      </w:r>
      <w:r>
        <w:t xml:space="preserve">a low of </w:t>
      </w:r>
      <w:r w:rsidR="00562186">
        <w:t xml:space="preserve">9.42 in 2010 </w:t>
      </w:r>
      <w:r>
        <w:t xml:space="preserve">to a high of </w:t>
      </w:r>
      <w:r w:rsidR="00562186">
        <w:t>22.63 in 1998</w:t>
      </w:r>
      <w:r>
        <w:t xml:space="preserve"> and reflects a multiple of 13.86 as of year-end 2016.</w:t>
      </w:r>
      <w:r w:rsidR="00C24F73">
        <w:t xml:space="preserve"> </w:t>
      </w:r>
    </w:p>
    <w:p w14:paraId="4CCF9C01" w14:textId="0CFA6AC9" w:rsidR="00C24F73" w:rsidRDefault="00E42689" w:rsidP="000A6ED2">
      <w:pPr>
        <w:pStyle w:val="ListParagraph"/>
        <w:numPr>
          <w:ilvl w:val="0"/>
          <w:numId w:val="2"/>
        </w:numPr>
      </w:pPr>
      <w:r>
        <w:t xml:space="preserve">JNJ </w:t>
      </w:r>
      <w:r w:rsidR="00C24F73">
        <w:t>has the highest enterprise value of other major firms in its space, including Colgate-Palmolive (70,537.2; 17.81), Novartis (211,623; 23.44), Pfizer (225,482; 15.80), Proctor &amp; Gamble (246,654; 17</w:t>
      </w:r>
      <w:r>
        <w:t>.06) and Merck (181,080; 17.26);</w:t>
      </w:r>
      <w:r w:rsidR="00C24F73">
        <w:t xml:space="preserve"> year-end EV </w:t>
      </w:r>
      <w:r w:rsidR="00097947">
        <w:t xml:space="preserve">(millions) </w:t>
      </w:r>
      <w:r w:rsidR="00C24F73">
        <w:t>and EV/EBIT multiples as noted.</w:t>
      </w:r>
    </w:p>
    <w:p w14:paraId="53A0BC16" w14:textId="77777777" w:rsidR="00562186" w:rsidRDefault="00562186" w:rsidP="000A6ED2">
      <w:pPr>
        <w:pStyle w:val="ListParagraph"/>
        <w:numPr>
          <w:ilvl w:val="0"/>
          <w:numId w:val="2"/>
        </w:numPr>
      </w:pPr>
      <w:r>
        <w:t xml:space="preserve">The firm’s 2016 year-end investment rate was 85.11% </w:t>
      </w:r>
    </w:p>
    <w:p w14:paraId="585C7D25" w14:textId="77777777" w:rsidR="000A6ED2" w:rsidRDefault="00562186" w:rsidP="000A6ED2">
      <w:pPr>
        <w:pStyle w:val="ListParagraph"/>
        <w:numPr>
          <w:ilvl w:val="0"/>
          <w:numId w:val="2"/>
        </w:numPr>
      </w:pPr>
      <w:r>
        <w:t>Long-run growth expectations for the economies in which JNJ does business are in line with GDP</w:t>
      </w:r>
      <w:r w:rsidR="000A6ED2">
        <w:t xml:space="preserve"> projections, currently at 2.5%, alongside inflation expectations of 1% for the foreseeable future.</w:t>
      </w:r>
      <w:r>
        <w:t xml:space="preserve"> </w:t>
      </w:r>
      <w:r w:rsidR="000A6ED2">
        <w:t xml:space="preserve">  </w:t>
      </w:r>
    </w:p>
    <w:p w14:paraId="6F39D685" w14:textId="77777777" w:rsidR="000A6ED2" w:rsidRDefault="000A6ED2" w:rsidP="000A6ED2">
      <w:pPr>
        <w:pStyle w:val="ListParagraph"/>
        <w:numPr>
          <w:ilvl w:val="0"/>
          <w:numId w:val="2"/>
        </w:numPr>
      </w:pPr>
      <w:r>
        <w:t>Interest rates on 30 US treasury securities remain weak at less than 3% and public and private debt burdens are expected to expand throughout the remainder of the decade.</w:t>
      </w:r>
    </w:p>
    <w:p w14:paraId="7CAFC270" w14:textId="1138C2F6" w:rsidR="00450D9C" w:rsidRDefault="004D74DB" w:rsidP="00594E4D">
      <w:r>
        <w:t>Y</w:t>
      </w:r>
      <w:r w:rsidR="00450D9C">
        <w:t>our crack team of analysts have prepared the attached valuation resulting in 12 different outcomes</w:t>
      </w:r>
      <w:r w:rsidR="00D63F62">
        <w:t>.  You’ve presented the analysis to your clients and they’re now prepared to ask you some questions</w:t>
      </w:r>
      <w:r>
        <w:t>:</w:t>
      </w:r>
      <w:r w:rsidR="00D63F62">
        <w:t xml:space="preserve"> </w:t>
      </w:r>
      <w:r w:rsidR="00450D9C">
        <w:t xml:space="preserve"> </w:t>
      </w:r>
    </w:p>
    <w:p w14:paraId="097C2B62" w14:textId="77777777" w:rsidR="000A6ED2" w:rsidRDefault="000A6ED2" w:rsidP="00E42689">
      <w:pPr>
        <w:pStyle w:val="ListParagraph"/>
        <w:numPr>
          <w:ilvl w:val="0"/>
          <w:numId w:val="3"/>
        </w:numPr>
      </w:pPr>
      <w:r>
        <w:t>What is the virtue of using a valuation multiple rather than some other form of terminal value?</w:t>
      </w:r>
    </w:p>
    <w:p w14:paraId="30C10801" w14:textId="54834C93" w:rsidR="002C32AE" w:rsidRDefault="002C32AE" w:rsidP="00E42689">
      <w:pPr>
        <w:pStyle w:val="ListParagraph"/>
        <w:numPr>
          <w:ilvl w:val="0"/>
          <w:numId w:val="3"/>
        </w:numPr>
      </w:pPr>
      <w:r>
        <w:t>Your analysts have used an observed multiple (13.86), target multiple (15), and KVD multiple (8.63).  Explain how each were identified (calculated) and defend the use of the target multiple</w:t>
      </w:r>
      <w:r w:rsidR="00E42689">
        <w:t xml:space="preserve"> (be very specific with respect to the KVD calculation)</w:t>
      </w:r>
      <w:r>
        <w:t>.</w:t>
      </w:r>
    </w:p>
    <w:p w14:paraId="7B98F94F" w14:textId="785CD5B1" w:rsidR="000A6ED2" w:rsidRDefault="000A6ED2" w:rsidP="00E42689">
      <w:pPr>
        <w:pStyle w:val="ListParagraph"/>
        <w:numPr>
          <w:ilvl w:val="0"/>
          <w:numId w:val="3"/>
        </w:numPr>
      </w:pPr>
      <w:r>
        <w:t xml:space="preserve">Having access to current market values for JNJ, why would you not simply make an investment offer </w:t>
      </w:r>
      <w:r w:rsidR="00914749">
        <w:t xml:space="preserve">based on that </w:t>
      </w:r>
      <w:r>
        <w:t>value?</w:t>
      </w:r>
    </w:p>
    <w:p w14:paraId="1897939C" w14:textId="01006853" w:rsidR="00914749" w:rsidRDefault="00914749" w:rsidP="00E42689">
      <w:pPr>
        <w:pStyle w:val="ListParagraph"/>
        <w:numPr>
          <w:ilvl w:val="0"/>
          <w:numId w:val="3"/>
        </w:numPr>
      </w:pPr>
      <w:r>
        <w:t>Given the information at your disposal, w</w:t>
      </w:r>
      <w:r w:rsidR="001D379F">
        <w:t xml:space="preserve">hy would you use the firm’s WACC as </w:t>
      </w:r>
      <w:r w:rsidR="00E42689">
        <w:t>the</w:t>
      </w:r>
      <w:r w:rsidR="001D379F">
        <w:t xml:space="preserve"> discount rate for your calculations rather than use your client’s required rate of return o</w:t>
      </w:r>
      <w:r>
        <w:t>r</w:t>
      </w:r>
      <w:r w:rsidR="001D379F">
        <w:t xml:space="preserve"> the firm’s ROIC?</w:t>
      </w:r>
      <w:r>
        <w:t xml:space="preserve"> </w:t>
      </w:r>
    </w:p>
    <w:p w14:paraId="75DF6264" w14:textId="2250E7F5" w:rsidR="004D74DB" w:rsidRDefault="004D74DB" w:rsidP="00E42689">
      <w:pPr>
        <w:pStyle w:val="ListParagraph"/>
        <w:numPr>
          <w:ilvl w:val="0"/>
          <w:numId w:val="3"/>
        </w:numPr>
      </w:pPr>
      <w:r>
        <w:t>You instructed your analysts to use a long-run growth rate of 2.5% in their calculations.  Why that rate compared to some other, and what other rate of long-run growth might you have been able to credibly defend?</w:t>
      </w:r>
    </w:p>
    <w:p w14:paraId="5A00615E" w14:textId="0F36FF7D" w:rsidR="00594E4D" w:rsidRDefault="00D63F62" w:rsidP="00E42689">
      <w:pPr>
        <w:pStyle w:val="ListParagraph"/>
        <w:numPr>
          <w:ilvl w:val="0"/>
          <w:numId w:val="3"/>
        </w:numPr>
      </w:pPr>
      <w:r>
        <w:t xml:space="preserve">At what valuation might a major investment in JNJ be attractive?  Why that particular value?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9345"/>
      </w:tblGrid>
      <w:tr w:rsidR="00860AC3" w:rsidRPr="00471BC7" w14:paraId="25B3473C" w14:textId="77777777" w:rsidTr="00860AC3">
        <w:trPr>
          <w:trHeight w:val="144"/>
        </w:trPr>
        <w:tc>
          <w:tcPr>
            <w:tcW w:w="9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EF328" w14:textId="24E3F20F" w:rsidR="00860AC3" w:rsidRPr="00860AC3" w:rsidRDefault="00471BC7" w:rsidP="00953A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914749">
              <w:br w:type="page"/>
            </w:r>
            <w:r w:rsidR="00860AC3" w:rsidRPr="00860A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Select Financial and Market Information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1055"/>
        <w:gridCol w:w="1362"/>
        <w:gridCol w:w="1588"/>
      </w:tblGrid>
      <w:tr w:rsidR="00860AC3" w:rsidRPr="00471BC7" w14:paraId="3BEFA58D" w14:textId="77777777" w:rsidTr="00953A8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C08C74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AD93F2B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B592638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61C04C4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860AC3" w:rsidRPr="00471BC7" w14:paraId="6C21836F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73AEDD99" w14:textId="77777777" w:rsidR="00860AC3" w:rsidRPr="00CD3045" w:rsidRDefault="00860AC3" w:rsidP="00953A86">
            <w:pPr>
              <w:jc w:val="right"/>
              <w:rPr>
                <w:b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Closing share price</w:t>
            </w:r>
          </w:p>
        </w:tc>
        <w:tc>
          <w:tcPr>
            <w:tcW w:w="0" w:type="auto"/>
            <w:noWrap/>
            <w:vAlign w:val="center"/>
            <w:hideMark/>
          </w:tcPr>
          <w:p w14:paraId="16782C72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115.21</w:t>
            </w:r>
          </w:p>
        </w:tc>
        <w:tc>
          <w:tcPr>
            <w:tcW w:w="0" w:type="auto"/>
            <w:noWrap/>
            <w:vAlign w:val="center"/>
            <w:hideMark/>
          </w:tcPr>
          <w:p w14:paraId="1B4DE09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    102.72 </w:t>
            </w:r>
          </w:p>
        </w:tc>
        <w:tc>
          <w:tcPr>
            <w:tcW w:w="0" w:type="auto"/>
            <w:noWrap/>
            <w:vAlign w:val="center"/>
            <w:hideMark/>
          </w:tcPr>
          <w:p w14:paraId="15AEC0A7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         105.60 </w:t>
            </w:r>
          </w:p>
        </w:tc>
      </w:tr>
      <w:tr w:rsidR="00860AC3" w:rsidRPr="00471BC7" w14:paraId="10543E11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5CBC1F13" w14:textId="77777777" w:rsidR="00860AC3" w:rsidRPr="00CD3045" w:rsidRDefault="00860AC3" w:rsidP="00953A86">
            <w:pPr>
              <w:jc w:val="right"/>
              <w:rPr>
                <w:b/>
                <w:sz w:val="20"/>
                <w:szCs w:val="20"/>
              </w:rPr>
            </w:pPr>
            <w:r w:rsidRPr="00CD3045">
              <w:rPr>
                <w:b/>
                <w:sz w:val="20"/>
                <w:szCs w:val="20"/>
              </w:rPr>
              <w:t>Common Shares Outstanding</w:t>
            </w:r>
          </w:p>
        </w:tc>
        <w:tc>
          <w:tcPr>
            <w:tcW w:w="0" w:type="auto"/>
            <w:noWrap/>
            <w:vAlign w:val="center"/>
            <w:hideMark/>
          </w:tcPr>
          <w:p w14:paraId="38010F84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2737.3</w:t>
            </w:r>
          </w:p>
        </w:tc>
        <w:tc>
          <w:tcPr>
            <w:tcW w:w="0" w:type="auto"/>
            <w:noWrap/>
            <w:vAlign w:val="center"/>
            <w:hideMark/>
          </w:tcPr>
          <w:p w14:paraId="1BBD1F36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2,771.80 </w:t>
            </w:r>
          </w:p>
        </w:tc>
        <w:tc>
          <w:tcPr>
            <w:tcW w:w="0" w:type="auto"/>
            <w:noWrap/>
            <w:vAlign w:val="center"/>
            <w:hideMark/>
          </w:tcPr>
          <w:p w14:paraId="41630F71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     2,815.20 </w:t>
            </w:r>
          </w:p>
        </w:tc>
      </w:tr>
      <w:tr w:rsidR="00860AC3" w:rsidRPr="00471BC7" w14:paraId="23E34B3E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0ADDC7C1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Market Cap - Common</w:t>
            </w:r>
          </w:p>
        </w:tc>
        <w:tc>
          <w:tcPr>
            <w:tcW w:w="0" w:type="auto"/>
            <w:noWrap/>
            <w:vAlign w:val="center"/>
            <w:hideMark/>
          </w:tcPr>
          <w:p w14:paraId="7944E5B7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315,364 </w:t>
            </w:r>
          </w:p>
        </w:tc>
        <w:tc>
          <w:tcPr>
            <w:tcW w:w="0" w:type="auto"/>
            <w:noWrap/>
            <w:vAlign w:val="center"/>
            <w:hideMark/>
          </w:tcPr>
          <w:p w14:paraId="632D9CEF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284,719 </w:t>
            </w:r>
          </w:p>
        </w:tc>
        <w:tc>
          <w:tcPr>
            <w:tcW w:w="0" w:type="auto"/>
            <w:noWrap/>
            <w:vAlign w:val="center"/>
            <w:hideMark/>
          </w:tcPr>
          <w:p w14:paraId="67EA559D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297,285 </w:t>
            </w:r>
          </w:p>
        </w:tc>
      </w:tr>
      <w:tr w:rsidR="00860AC3" w:rsidRPr="00471BC7" w14:paraId="7B4F1CAE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61CA4FE1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Book Value Long-Term Debt</w:t>
            </w:r>
          </w:p>
        </w:tc>
        <w:tc>
          <w:tcPr>
            <w:tcW w:w="0" w:type="auto"/>
            <w:noWrap/>
            <w:vAlign w:val="center"/>
            <w:hideMark/>
          </w:tcPr>
          <w:p w14:paraId="29675A15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22,442</w:t>
            </w:r>
          </w:p>
        </w:tc>
        <w:tc>
          <w:tcPr>
            <w:tcW w:w="0" w:type="auto"/>
            <w:noWrap/>
            <w:vAlign w:val="center"/>
            <w:hideMark/>
          </w:tcPr>
          <w:p w14:paraId="7CF7AE51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12,857.00 </w:t>
            </w:r>
          </w:p>
        </w:tc>
        <w:tc>
          <w:tcPr>
            <w:tcW w:w="0" w:type="auto"/>
            <w:noWrap/>
            <w:vAlign w:val="center"/>
            <w:hideMark/>
          </w:tcPr>
          <w:p w14:paraId="44E75FB3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   15,122.00 </w:t>
            </w:r>
          </w:p>
        </w:tc>
      </w:tr>
      <w:tr w:rsidR="00860AC3" w:rsidRPr="00471BC7" w14:paraId="340C05E3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250C4A6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Cash &amp; Securities</w:t>
            </w:r>
          </w:p>
        </w:tc>
        <w:tc>
          <w:tcPr>
            <w:tcW w:w="0" w:type="auto"/>
            <w:noWrap/>
            <w:vAlign w:val="center"/>
            <w:hideMark/>
          </w:tcPr>
          <w:p w14:paraId="63902451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41,907</w:t>
            </w:r>
          </w:p>
        </w:tc>
        <w:tc>
          <w:tcPr>
            <w:tcW w:w="0" w:type="auto"/>
            <w:noWrap/>
            <w:vAlign w:val="center"/>
            <w:hideMark/>
          </w:tcPr>
          <w:p w14:paraId="2BCE26C5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38,376.00 </w:t>
            </w:r>
          </w:p>
        </w:tc>
        <w:tc>
          <w:tcPr>
            <w:tcW w:w="0" w:type="auto"/>
            <w:noWrap/>
            <w:vAlign w:val="center"/>
            <w:hideMark/>
          </w:tcPr>
          <w:p w14:paraId="1EB22A43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   33,089.00 </w:t>
            </w:r>
          </w:p>
        </w:tc>
      </w:tr>
      <w:tr w:rsidR="00860AC3" w:rsidRPr="00471BC7" w14:paraId="35BE70EA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4C4A9C1F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Enterprise Value (EV)</w:t>
            </w:r>
            <w:r w:rsidRPr="00CD3045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554361D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295,899</w:t>
            </w:r>
          </w:p>
        </w:tc>
        <w:tc>
          <w:tcPr>
            <w:tcW w:w="0" w:type="auto"/>
            <w:noWrap/>
            <w:vAlign w:val="center"/>
            <w:hideMark/>
          </w:tcPr>
          <w:p w14:paraId="6AACE31B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259,200 </w:t>
            </w:r>
          </w:p>
        </w:tc>
        <w:tc>
          <w:tcPr>
            <w:tcW w:w="0" w:type="auto"/>
            <w:noWrap/>
            <w:vAlign w:val="center"/>
            <w:hideMark/>
          </w:tcPr>
          <w:p w14:paraId="05916438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 xml:space="preserve">         279,318 </w:t>
            </w:r>
          </w:p>
        </w:tc>
      </w:tr>
      <w:tr w:rsidR="00860AC3" w:rsidRPr="00471BC7" w14:paraId="4BB9C40E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65FEA02A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EBIT</w:t>
            </w:r>
          </w:p>
        </w:tc>
        <w:tc>
          <w:tcPr>
            <w:tcW w:w="0" w:type="auto"/>
            <w:noWrap/>
            <w:vAlign w:val="center"/>
          </w:tcPr>
          <w:p w14:paraId="74535F52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21,350</w:t>
            </w:r>
          </w:p>
        </w:tc>
        <w:tc>
          <w:tcPr>
            <w:tcW w:w="0" w:type="auto"/>
            <w:noWrap/>
            <w:vAlign w:val="center"/>
          </w:tcPr>
          <w:p w14:paraId="3D7CB47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18,368</w:t>
            </w:r>
          </w:p>
        </w:tc>
        <w:tc>
          <w:tcPr>
            <w:tcW w:w="0" w:type="auto"/>
            <w:noWrap/>
            <w:vAlign w:val="center"/>
          </w:tcPr>
          <w:p w14:paraId="7425083B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20,929</w:t>
            </w:r>
          </w:p>
        </w:tc>
      </w:tr>
      <w:tr w:rsidR="00860AC3" w:rsidRPr="00471BC7" w14:paraId="41AB38A0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30A33A68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Avg Tax Rate on EBIT</w:t>
            </w:r>
          </w:p>
        </w:tc>
        <w:tc>
          <w:tcPr>
            <w:tcW w:w="0" w:type="auto"/>
            <w:noWrap/>
            <w:vAlign w:val="center"/>
          </w:tcPr>
          <w:p w14:paraId="01048226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35%</w:t>
            </w:r>
          </w:p>
        </w:tc>
        <w:tc>
          <w:tcPr>
            <w:tcW w:w="0" w:type="auto"/>
            <w:noWrap/>
            <w:vAlign w:val="center"/>
          </w:tcPr>
          <w:p w14:paraId="2501A188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35%</w:t>
            </w:r>
          </w:p>
        </w:tc>
        <w:tc>
          <w:tcPr>
            <w:tcW w:w="0" w:type="auto"/>
            <w:noWrap/>
            <w:vAlign w:val="center"/>
          </w:tcPr>
          <w:p w14:paraId="4A9E9AF3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35%</w:t>
            </w:r>
          </w:p>
        </w:tc>
      </w:tr>
      <w:tr w:rsidR="00860AC3" w:rsidRPr="00471BC7" w14:paraId="47B143D4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60A83A46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Invested Capital</w:t>
            </w:r>
          </w:p>
        </w:tc>
        <w:tc>
          <w:tcPr>
            <w:tcW w:w="0" w:type="auto"/>
            <w:noWrap/>
            <w:vAlign w:val="center"/>
          </w:tcPr>
          <w:p w14:paraId="30D07BB4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114,921</w:t>
            </w:r>
          </w:p>
        </w:tc>
        <w:tc>
          <w:tcPr>
            <w:tcW w:w="0" w:type="auto"/>
            <w:noWrap/>
            <w:vAlign w:val="center"/>
          </w:tcPr>
          <w:p w14:paraId="49266DED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105,664</w:t>
            </w:r>
          </w:p>
        </w:tc>
        <w:tc>
          <w:tcPr>
            <w:tcW w:w="0" w:type="auto"/>
            <w:noWrap/>
            <w:vAlign w:val="center"/>
          </w:tcPr>
          <w:p w14:paraId="6253E627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106,034</w:t>
            </w:r>
          </w:p>
        </w:tc>
      </w:tr>
      <w:tr w:rsidR="00860AC3" w:rsidRPr="00471BC7" w14:paraId="57310315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7683F7CD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ROIC</w:t>
            </w:r>
          </w:p>
        </w:tc>
        <w:tc>
          <w:tcPr>
            <w:tcW w:w="0" w:type="auto"/>
            <w:noWrap/>
            <w:vAlign w:val="center"/>
          </w:tcPr>
          <w:p w14:paraId="3FC660D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12.08%</w:t>
            </w:r>
          </w:p>
        </w:tc>
        <w:tc>
          <w:tcPr>
            <w:tcW w:w="0" w:type="auto"/>
            <w:noWrap/>
            <w:vAlign w:val="center"/>
          </w:tcPr>
          <w:p w14:paraId="387F05FB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11.30%</w:t>
            </w:r>
          </w:p>
        </w:tc>
        <w:tc>
          <w:tcPr>
            <w:tcW w:w="0" w:type="auto"/>
            <w:noWrap/>
            <w:vAlign w:val="center"/>
          </w:tcPr>
          <w:p w14:paraId="7C154625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12.83%</w:t>
            </w:r>
          </w:p>
        </w:tc>
      </w:tr>
      <w:tr w:rsidR="00860AC3" w:rsidRPr="00471BC7" w14:paraId="49240457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0E503065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b/>
                <w:bCs/>
                <w:sz w:val="20"/>
                <w:szCs w:val="20"/>
              </w:rPr>
              <w:t>WACC</w:t>
            </w:r>
            <w:r w:rsidRPr="00CD3045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355D5E85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8.48%</w:t>
            </w:r>
          </w:p>
        </w:tc>
        <w:tc>
          <w:tcPr>
            <w:tcW w:w="0" w:type="auto"/>
            <w:noWrap/>
            <w:vAlign w:val="center"/>
            <w:hideMark/>
          </w:tcPr>
          <w:p w14:paraId="59FFE743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9.18%</w:t>
            </w:r>
          </w:p>
        </w:tc>
        <w:tc>
          <w:tcPr>
            <w:tcW w:w="0" w:type="auto"/>
            <w:noWrap/>
            <w:vAlign w:val="center"/>
            <w:hideMark/>
          </w:tcPr>
          <w:p w14:paraId="4957D21A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9.11%</w:t>
            </w:r>
          </w:p>
        </w:tc>
      </w:tr>
      <w:tr w:rsidR="00860AC3" w:rsidRPr="00471BC7" w14:paraId="29727E05" w14:textId="77777777" w:rsidTr="00953A86">
        <w:trPr>
          <w:trHeight w:val="20"/>
          <w:jc w:val="center"/>
        </w:trPr>
        <w:tc>
          <w:tcPr>
            <w:tcW w:w="0" w:type="auto"/>
            <w:vAlign w:val="center"/>
          </w:tcPr>
          <w:p w14:paraId="38CAE9C3" w14:textId="77777777" w:rsidR="00860AC3" w:rsidRPr="00CD3045" w:rsidRDefault="00860AC3" w:rsidP="00953A8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5B76B62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7437E277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1EF7F4AE" w14:textId="77777777" w:rsidR="00860AC3" w:rsidRPr="00CD3045" w:rsidRDefault="00860AC3" w:rsidP="00953A86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</w:tblPr>
      <w:tblGrid>
        <w:gridCol w:w="622"/>
        <w:gridCol w:w="773"/>
        <w:gridCol w:w="555"/>
        <w:gridCol w:w="471"/>
        <w:gridCol w:w="864"/>
        <w:gridCol w:w="106"/>
        <w:gridCol w:w="667"/>
        <w:gridCol w:w="774"/>
        <w:gridCol w:w="773"/>
        <w:gridCol w:w="668"/>
        <w:gridCol w:w="207"/>
        <w:gridCol w:w="815"/>
        <w:gridCol w:w="137"/>
        <w:gridCol w:w="964"/>
        <w:gridCol w:w="27"/>
        <w:gridCol w:w="923"/>
        <w:gridCol w:w="14"/>
      </w:tblGrid>
      <w:tr w:rsidR="00DB7EEA" w:rsidRPr="00CD3045" w14:paraId="30B2882B" w14:textId="77777777" w:rsidTr="00860AC3">
        <w:trPr>
          <w:gridAfter w:val="1"/>
          <w:wAfter w:w="15" w:type="dxa"/>
          <w:trHeight w:val="288"/>
        </w:trPr>
        <w:tc>
          <w:tcPr>
            <w:tcW w:w="93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1E1DC" w14:textId="5A411B2F" w:rsidR="00DB7EEA" w:rsidRPr="00914749" w:rsidRDefault="00DB7EEA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Derived and Calculated Data</w:t>
            </w:r>
          </w:p>
        </w:tc>
      </w:tr>
      <w:tr w:rsidR="00CD3045" w:rsidRPr="00CD3045" w14:paraId="37EE6046" w14:textId="77777777" w:rsidTr="00860AC3">
        <w:trPr>
          <w:gridAfter w:val="1"/>
          <w:wAfter w:w="15" w:type="dxa"/>
          <w:trHeight w:val="28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FC0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1B11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EBIT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522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NOPLAT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9E2D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FCF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D2F0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20DF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E322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33D9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IC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AA8E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ROIC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CF33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</w:t>
            </w: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9831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EV/EBIT Multiple</w:t>
            </w:r>
          </w:p>
        </w:tc>
      </w:tr>
      <w:tr w:rsidR="00860AC3" w:rsidRPr="00CD3045" w14:paraId="0D2A33BB" w14:textId="77777777" w:rsidTr="00860AC3">
        <w:trPr>
          <w:gridAfter w:val="1"/>
          <w:wAfter w:w="15" w:type="dxa"/>
          <w:trHeight w:val="14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DE4E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4275" w14:textId="0A09AA8A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20,929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608A" w14:textId="7F360769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13,603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3734" w14:textId="583AD19D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14,757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756F" w14:textId="1A0B7C6E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71,808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0615" w14:textId="3C503D34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59,311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168A" w14:textId="1C6857DA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25,085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8DD7" w14:textId="75C88CA3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106,034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458D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12.83%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00E6" w14:textId="46EBBF67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279,318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46C1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13.35</w:t>
            </w:r>
          </w:p>
        </w:tc>
      </w:tr>
      <w:tr w:rsidR="00860AC3" w:rsidRPr="00CD3045" w14:paraId="0374D289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3DC8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EEC2" w14:textId="012BBCDA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18,368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5ECC" w14:textId="7C86521B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11,939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5F3A" w14:textId="01484338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3045">
              <w:rPr>
                <w:sz w:val="20"/>
                <w:szCs w:val="20"/>
              </w:rPr>
              <w:t>15,816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CB4E" w14:textId="6325DDE8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73,201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12C67" w14:textId="40DFD1F4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60,210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46AD" w14:textId="6E9D326E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27,747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6431" w14:textId="0817A726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105,664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3B1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11.30%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F99D" w14:textId="02285705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259,200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CD7B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14.11</w:t>
            </w:r>
          </w:p>
        </w:tc>
      </w:tr>
      <w:tr w:rsidR="00860AC3" w:rsidRPr="00CD3045" w14:paraId="1F01CEC9" w14:textId="77777777" w:rsidTr="00860AC3">
        <w:trPr>
          <w:gridAfter w:val="1"/>
          <w:wAfter w:w="15" w:type="dxa"/>
          <w:trHeight w:val="14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1203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507" w14:textId="13B02234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14749">
              <w:rPr>
                <w:rFonts w:eastAsia="Times New Roman" w:cs="Arial"/>
                <w:sz w:val="20"/>
                <w:szCs w:val="20"/>
              </w:rPr>
              <w:t>21,350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043" w14:textId="0EF3C11F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13,877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A7A7" w14:textId="6D89E7E8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cs="Arial"/>
                <w:sz w:val="20"/>
                <w:szCs w:val="20"/>
              </w:rPr>
              <w:t>15,541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6224" w14:textId="4CE3DF9D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76,176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EAE6" w14:textId="5C03D996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65,032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6201" w14:textId="32C6D1DF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26,287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A24A" w14:textId="6C2284E5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114,921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0098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12.08%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B00B" w14:textId="7015C05D" w:rsidR="00CD3045" w:rsidRPr="00914749" w:rsidRDefault="00CD3045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295,899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7441" w14:textId="77777777" w:rsidR="00CD3045" w:rsidRPr="00914749" w:rsidRDefault="00CD3045" w:rsidP="00CD30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13.86</w:t>
            </w:r>
          </w:p>
        </w:tc>
      </w:tr>
      <w:tr w:rsidR="00860AC3" w:rsidRPr="00CD3045" w14:paraId="25769855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16BE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92F" w14:textId="5CA70A7A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14749">
              <w:rPr>
                <w:rFonts w:eastAsia="Times New Roman" w:cs="Arial"/>
                <w:sz w:val="20"/>
                <w:szCs w:val="20"/>
              </w:rPr>
              <w:t>23,371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19A" w14:textId="61BC336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15,190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205E" w14:textId="60502165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cs="Arial"/>
                <w:sz w:val="20"/>
                <w:szCs w:val="20"/>
              </w:rPr>
              <w:t>18,620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D0C8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5B74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3FF6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3DF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D19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9C91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4143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0AC3" w:rsidRPr="00CD3045" w14:paraId="2337319C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035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8027" w14:textId="5FDA32C9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14749">
              <w:rPr>
                <w:rFonts w:eastAsia="Times New Roman" w:cs="Arial"/>
                <w:sz w:val="20"/>
                <w:szCs w:val="20"/>
              </w:rPr>
              <w:t>25,336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3C45" w14:textId="01AF7A4B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16,468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7BB8" w14:textId="7D1DFEC6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cs="Arial"/>
                <w:sz w:val="20"/>
                <w:szCs w:val="20"/>
              </w:rPr>
              <w:t>20,909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F111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DA83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BC6A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0CC4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A887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F70A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D16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0AC3" w:rsidRPr="00CD3045" w14:paraId="3FB2F16D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61C1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FEAF" w14:textId="6ED63263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14749">
              <w:rPr>
                <w:rFonts w:eastAsia="Times New Roman" w:cs="Arial"/>
                <w:sz w:val="20"/>
                <w:szCs w:val="20"/>
              </w:rPr>
              <w:t>26,814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43AF" w14:textId="1D2BCCFB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17,429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0DB19" w14:textId="02C3DF08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cs="Arial"/>
                <w:sz w:val="20"/>
                <w:szCs w:val="20"/>
              </w:rPr>
              <w:t>22,644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46C0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00B3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C1C6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8E3E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94AD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482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79E4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0AC3" w:rsidRPr="00CD3045" w14:paraId="7D2522AA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532A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3DA3" w14:textId="2D5DDF69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14749">
              <w:rPr>
                <w:rFonts w:eastAsia="Times New Roman" w:cs="Arial"/>
                <w:sz w:val="20"/>
                <w:szCs w:val="20"/>
              </w:rPr>
              <w:t>28,425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65B6" w14:textId="0A916CFC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sz w:val="20"/>
                <w:szCs w:val="20"/>
              </w:rPr>
              <w:t>18,476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5336" w14:textId="3D008F16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4,004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C44D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792B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2D21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38E9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0808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607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8A14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60AC3" w:rsidRPr="00CD3045" w14:paraId="253ACC5D" w14:textId="77777777" w:rsidTr="00860AC3">
        <w:trPr>
          <w:gridAfter w:val="1"/>
          <w:wAfter w:w="15" w:type="dxa"/>
          <w:trHeight w:val="2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A4A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EFF4" w14:textId="5B85153A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30,093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19AA" w14:textId="528AD191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4749">
              <w:rPr>
                <w:rFonts w:eastAsia="Times New Roman" w:cs="Times New Roman"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CDABC" w14:textId="597E11A3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25,413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0F5F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9604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D82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BE0F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2CC6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9446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3473" w14:textId="77777777" w:rsidR="00860AC3" w:rsidRPr="00914749" w:rsidRDefault="00860AC3" w:rsidP="00860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7EEA" w:rsidRPr="00471BC7" w14:paraId="743AC8E8" w14:textId="77777777" w:rsidTr="00860AC3">
        <w:trPr>
          <w:trHeight w:val="252"/>
        </w:trPr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259" w14:textId="77777777" w:rsidR="00471BC7" w:rsidRPr="00471BC7" w:rsidRDefault="00471BC7" w:rsidP="0047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3D6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95B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87D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3C6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DE4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14C" w14:textId="77777777" w:rsidR="00471BC7" w:rsidRPr="00471BC7" w:rsidRDefault="00471BC7" w:rsidP="0047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F09" w:rsidRPr="00471BC7" w14:paraId="717AAD23" w14:textId="77777777" w:rsidTr="00860AC3">
        <w:trPr>
          <w:trHeight w:val="20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A667E" w14:textId="77777777" w:rsidR="00D80F09" w:rsidRPr="00CD3045" w:rsidRDefault="00D80F09" w:rsidP="00D80F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D3045">
              <w:rPr>
                <w:rFonts w:eastAsia="Times New Roman" w:cs="Arial"/>
                <w:b/>
                <w:bCs/>
                <w:sz w:val="20"/>
                <w:szCs w:val="20"/>
              </w:rPr>
              <w:t>Analyst Consensus Estimates</w:t>
            </w:r>
          </w:p>
        </w:tc>
      </w:tr>
      <w:tr w:rsidR="00DB7EEA" w:rsidRPr="00471BC7" w14:paraId="4D396D4C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EDB" w14:textId="77777777" w:rsidR="00471BC7" w:rsidRPr="00471BC7" w:rsidRDefault="00471BC7" w:rsidP="00471B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3D7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'17E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65C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'18E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66F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'19E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3750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'20E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BC9F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'21E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152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1BC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Dec '22E </w:t>
            </w:r>
          </w:p>
        </w:tc>
      </w:tr>
      <w:tr w:rsidR="00DB7EEA" w:rsidRPr="00471BC7" w14:paraId="6B8CA603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D387" w14:textId="77777777" w:rsidR="00471BC7" w:rsidRPr="00471BC7" w:rsidRDefault="00D80F09" w:rsidP="00D80F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eastAsia="Times New Roman" w:cs="Arial"/>
                <w:sz w:val="20"/>
                <w:szCs w:val="20"/>
              </w:rPr>
              <w:t>EBIT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07E" w14:textId="77777777" w:rsidR="00471BC7" w:rsidRPr="00471BC7" w:rsidRDefault="0022292B" w:rsidP="0022292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CD3045">
              <w:rPr>
                <w:rFonts w:eastAsia="Times New Roman" w:cs="Arial"/>
                <w:sz w:val="20"/>
                <w:szCs w:val="20"/>
              </w:rPr>
              <w:t>2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3,371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26F" w14:textId="1C2351DA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25,336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BF1" w14:textId="46B2212E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26,814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832" w14:textId="50990825" w:rsidR="00471BC7" w:rsidRPr="00471BC7" w:rsidRDefault="00CD3045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8,425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720" w14:textId="6338C880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30,093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BE6" w14:textId="2482C737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26,047 </w:t>
            </w:r>
          </w:p>
        </w:tc>
      </w:tr>
      <w:tr w:rsidR="00DB7EEA" w:rsidRPr="00471BC7" w14:paraId="5539EEEF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AAAB" w14:textId="77777777" w:rsidR="00471BC7" w:rsidRPr="00471BC7" w:rsidRDefault="00471BC7" w:rsidP="00471B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>Free Cash Flow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30D" w14:textId="0F0835FB" w:rsidR="00471BC7" w:rsidRPr="00471BC7" w:rsidRDefault="00860AC3" w:rsidP="00860A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18,620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A4A7" w14:textId="10913F93" w:rsidR="00471BC7" w:rsidRPr="00471BC7" w:rsidRDefault="00860AC3" w:rsidP="00860A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20,909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6B9" w14:textId="2309E8D3" w:rsidR="00471BC7" w:rsidRPr="00471BC7" w:rsidRDefault="00471BC7" w:rsidP="00860A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</w:t>
            </w:r>
            <w:r w:rsidR="00860AC3">
              <w:rPr>
                <w:rFonts w:eastAsia="Times New Roman" w:cs="Arial"/>
                <w:sz w:val="20"/>
                <w:szCs w:val="20"/>
              </w:rPr>
              <w:t>22,644</w:t>
            </w:r>
            <w:r w:rsidRPr="00471BC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8B2" w14:textId="026A60BD" w:rsidR="00471BC7" w:rsidRPr="00471BC7" w:rsidRDefault="00860AC3" w:rsidP="00860A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24,004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510" w14:textId="33BF14FF" w:rsidR="00471BC7" w:rsidRPr="00471BC7" w:rsidRDefault="00860AC3" w:rsidP="00860AC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25,413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CD5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-- </w:t>
            </w:r>
          </w:p>
        </w:tc>
      </w:tr>
      <w:tr w:rsidR="00DB7EEA" w:rsidRPr="00471BC7" w14:paraId="7479C1F8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293" w14:textId="77777777" w:rsidR="00471BC7" w:rsidRPr="00471BC7" w:rsidRDefault="00471BC7" w:rsidP="0022292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>Price/Earnings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C85" w14:textId="7705B63D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17.40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038" w14:textId="5CD5A00B" w:rsidR="00471BC7" w:rsidRPr="00471BC7" w:rsidRDefault="00CD3045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6.13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F62" w14:textId="40CBA8BD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15.20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0AD" w14:textId="6666BA1A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14.38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8108" w14:textId="62931A2A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13.08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DC3" w14:textId="26C551E2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14.94 </w:t>
            </w:r>
          </w:p>
        </w:tc>
      </w:tr>
      <w:tr w:rsidR="00DB7EEA" w:rsidRPr="00471BC7" w14:paraId="737DC716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4904" w14:textId="77777777" w:rsidR="00471BC7" w:rsidRPr="00471BC7" w:rsidRDefault="00471BC7" w:rsidP="0022292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Price/Book Value 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D75" w14:textId="4131FFC7" w:rsidR="00471BC7" w:rsidRPr="00471BC7" w:rsidRDefault="00CD3045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471BC7" w:rsidRPr="00471BC7">
              <w:rPr>
                <w:rFonts w:eastAsia="Times New Roman" w:cs="Arial"/>
                <w:sz w:val="20"/>
                <w:szCs w:val="20"/>
              </w:rPr>
              <w:t xml:space="preserve">.22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6D9" w14:textId="6B065AD1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4.64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866" w14:textId="027B188D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4.11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B88" w14:textId="4E43F835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   2.99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828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--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F66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-- </w:t>
            </w:r>
          </w:p>
        </w:tc>
      </w:tr>
      <w:tr w:rsidR="00DB7EEA" w:rsidRPr="00471BC7" w14:paraId="22C90A3E" w14:textId="77777777" w:rsidTr="00860AC3">
        <w:trPr>
          <w:trHeight w:val="20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A93" w14:textId="77777777" w:rsidR="00471BC7" w:rsidRPr="00471BC7" w:rsidRDefault="00471BC7" w:rsidP="0022292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>EV/EBI</w:t>
            </w:r>
            <w:r w:rsidR="0022292B" w:rsidRPr="00CD3045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C50" w14:textId="669EDDD3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   13.62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AC4" w14:textId="7520CDCF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   13.05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C04" w14:textId="0E4D68EB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   11.97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DD7" w14:textId="74233999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    11.07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746" w14:textId="7DAF6121" w:rsidR="00471BC7" w:rsidRPr="00471BC7" w:rsidRDefault="00471BC7" w:rsidP="00CD304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     10.41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DEC" w14:textId="77777777" w:rsidR="00471BC7" w:rsidRPr="00471BC7" w:rsidRDefault="00471BC7" w:rsidP="00471BC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71BC7">
              <w:rPr>
                <w:rFonts w:eastAsia="Times New Roman" w:cs="Arial"/>
                <w:sz w:val="20"/>
                <w:szCs w:val="20"/>
              </w:rPr>
              <w:t xml:space="preserve"> -- </w:t>
            </w:r>
          </w:p>
        </w:tc>
      </w:tr>
    </w:tbl>
    <w:p w14:paraId="43EDEDC8" w14:textId="01D26285" w:rsidR="00953A86" w:rsidRDefault="00953A86"/>
    <w:p w14:paraId="7F1A4468" w14:textId="77777777" w:rsidR="00953A86" w:rsidRDefault="00953A86">
      <w:r>
        <w:br w:type="page"/>
      </w:r>
    </w:p>
    <w:p w14:paraId="13AF39E0" w14:textId="77777777" w:rsidR="00953A86" w:rsidRDefault="00953A86">
      <w:pPr>
        <w:sectPr w:rsidR="00953A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165"/>
        <w:gridCol w:w="1287"/>
        <w:gridCol w:w="1582"/>
        <w:gridCol w:w="222"/>
        <w:gridCol w:w="1409"/>
        <w:gridCol w:w="1247"/>
        <w:gridCol w:w="1287"/>
        <w:gridCol w:w="222"/>
        <w:gridCol w:w="1206"/>
        <w:gridCol w:w="1247"/>
        <w:gridCol w:w="1450"/>
      </w:tblGrid>
      <w:tr w:rsidR="004D74DB" w:rsidRPr="00953A86" w14:paraId="24482701" w14:textId="77777777" w:rsidTr="004D74DB">
        <w:trPr>
          <w:trHeight w:val="360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3A545" w14:textId="04C232B0" w:rsidR="004D74DB" w:rsidRPr="004D74DB" w:rsidRDefault="004D74DB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4D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JNJ Valuation Analysis</w:t>
            </w:r>
          </w:p>
        </w:tc>
      </w:tr>
      <w:tr w:rsidR="004D74DB" w:rsidRPr="00953A86" w14:paraId="493403A4" w14:textId="77777777" w:rsidTr="004D74DB">
        <w:trPr>
          <w:trHeight w:val="360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8E62" w14:textId="77777777" w:rsidR="004D74DB" w:rsidRDefault="004D74DB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3A86" w:rsidRPr="00953A86" w14:paraId="41C53BD2" w14:textId="77777777" w:rsidTr="00953A86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55B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KVD/NOPLAT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7BF4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598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KVD/FCF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34E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DCF/FCF</w:t>
            </w:r>
          </w:p>
        </w:tc>
      </w:tr>
      <w:tr w:rsidR="00953A86" w:rsidRPr="00953A86" w14:paraId="19DAE506" w14:textId="77777777" w:rsidTr="00953A8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D61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B8D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DD8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758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∑ 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692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371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F2D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51E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∑ 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AC95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46B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31E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C00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∑ 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</w:tr>
      <w:tr w:rsidR="00953A86" w:rsidRPr="00953A86" w14:paraId="28DCCFDC" w14:textId="77777777" w:rsidTr="00953A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36C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C89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15,191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06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14,004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4C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14,004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A0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D4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18,620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0FB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26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17,165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E2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6A1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18,620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10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59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17,165 </w:t>
            </w:r>
          </w:p>
        </w:tc>
      </w:tr>
      <w:tr w:rsidR="00953A86" w:rsidRPr="00953A86" w14:paraId="55895078" w14:textId="77777777" w:rsidTr="00953A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1D8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AC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16,469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FE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13,996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CE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27,999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D1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86D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20,909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B1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98A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34,934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C0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02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20,909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34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09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34,934 </w:t>
            </w:r>
          </w:p>
        </w:tc>
      </w:tr>
      <w:tr w:rsidR="00953A86" w:rsidRPr="00953A86" w14:paraId="356B7D56" w14:textId="77777777" w:rsidTr="00953A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698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E76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17,429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5CF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13,655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D3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41,654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ED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A5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22,644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37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FE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52,674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6F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2CB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22,644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0C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70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52,674 </w:t>
            </w:r>
          </w:p>
        </w:tc>
      </w:tr>
      <w:tr w:rsidR="00953A86" w:rsidRPr="00953A86" w14:paraId="3065C06C" w14:textId="77777777" w:rsidTr="00953A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E3F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73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18,476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A8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13,344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7F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54,998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5F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F7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24,004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788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BA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70,010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7B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1A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24,004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3E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17,336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F7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70,010 </w:t>
            </w:r>
          </w:p>
        </w:tc>
      </w:tr>
      <w:tr w:rsidR="00953A86" w:rsidRPr="00953A86" w14:paraId="2FBDC6C7" w14:textId="77777777" w:rsidTr="00953A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824" w14:textId="77777777" w:rsidR="00953A86" w:rsidRPr="00953A86" w:rsidRDefault="00953A86" w:rsidP="00953A8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0CC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19,560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88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13,023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32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68,021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FAD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ED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25,413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581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16,919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A3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86,930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35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EC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25,413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60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16,919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2C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86,930 </w:t>
            </w:r>
          </w:p>
        </w:tc>
      </w:tr>
      <w:tr w:rsidR="00953A86" w:rsidRPr="00953A86" w14:paraId="02AE9A45" w14:textId="77777777" w:rsidTr="00450D9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90C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8C3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73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4E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95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32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24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0C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F1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FD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30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B9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53A86" w:rsidRPr="00953A86" w14:paraId="4B85CC77" w14:textId="77777777" w:rsidTr="00953A8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FE3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F5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5B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DCF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EF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68,021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19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41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2D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DCF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54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86,930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F1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B1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48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DCF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44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86,930 </w:t>
            </w:r>
          </w:p>
        </w:tc>
      </w:tr>
      <w:tr w:rsidR="00953A86" w:rsidRPr="00953A86" w14:paraId="63666F69" w14:textId="77777777" w:rsidTr="00953A8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CA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4D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C5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29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266,040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A1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7D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10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49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266,040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3DA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EE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E57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8D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435,876 </w:t>
            </w:r>
          </w:p>
        </w:tc>
      </w:tr>
      <w:tr w:rsidR="00953A86" w:rsidRPr="00953A86" w14:paraId="548C6998" w14:textId="77777777" w:rsidTr="00953A8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82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76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96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C9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177,125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B5B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FC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7D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3E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177,125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71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75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C5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0B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290,198 </w:t>
            </w:r>
          </w:p>
        </w:tc>
      </w:tr>
      <w:tr w:rsidR="00953A86" w:rsidRPr="00953A86" w14:paraId="0181862B" w14:textId="77777777" w:rsidTr="00953A8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DE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D3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B9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KVD/NOPLAT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ABC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245,145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56B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81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BEE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KVD/FCF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D0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264,054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3E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22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E5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0E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377,127 </w:t>
            </w:r>
          </w:p>
        </w:tc>
      </w:tr>
      <w:tr w:rsidR="00953A86" w:rsidRPr="00953A86" w14:paraId="75E7DB7C" w14:textId="77777777" w:rsidTr="00450D9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DF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C3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6C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62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05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A8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19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5D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3C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B3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62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960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53A86" w:rsidRPr="00953A86" w14:paraId="654FB966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18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A0001A7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Observed Multiple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EE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137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427,497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ADF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2F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99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FA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427,497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47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70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42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B0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427,497 </w:t>
            </w:r>
          </w:p>
        </w:tc>
      </w:tr>
      <w:tr w:rsidR="00953A86" w:rsidRPr="00953A86" w14:paraId="3E902DD4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672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B237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26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46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284,619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2E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D0E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D1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A9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284,619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21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925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F44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A6A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284,619 </w:t>
            </w:r>
          </w:p>
        </w:tc>
      </w:tr>
      <w:tr w:rsidR="00953A86" w:rsidRPr="00953A86" w14:paraId="70579EAE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F62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1413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35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F63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352,640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6C1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BC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2F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E6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371,549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F0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07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5E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CF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371,549 </w:t>
            </w:r>
          </w:p>
        </w:tc>
      </w:tr>
      <w:tr w:rsidR="00953A86" w:rsidRPr="00953A86" w14:paraId="4EB8D66A" w14:textId="77777777" w:rsidTr="00450D9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6B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DEA" w14:textId="77777777" w:rsidR="00953A86" w:rsidRPr="00450D9C" w:rsidRDefault="00953A86" w:rsidP="00953A8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EF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D2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53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B2D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C1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B5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B2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4D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3A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D9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53A86" w:rsidRPr="00953A86" w14:paraId="6BDE8F67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DA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0EF451" w14:textId="77777777" w:rsidR="00953A86" w:rsidRPr="00450D9C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0D9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Target Multiple</w:t>
            </w:r>
            <w:r w:rsidRPr="00450D9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4F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04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462,677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49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54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1B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65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462,677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D8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0F0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409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72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462,677 </w:t>
            </w:r>
          </w:p>
        </w:tc>
      </w:tr>
      <w:tr w:rsidR="00953A86" w:rsidRPr="00953A86" w14:paraId="287A830E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C4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FEA9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5C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34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308,042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98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DE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927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B4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308,042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F7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B7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C1F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F9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308,042 </w:t>
            </w:r>
          </w:p>
        </w:tc>
      </w:tr>
      <w:tr w:rsidR="00953A86" w:rsidRPr="00953A86" w14:paraId="08EF9ECA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9B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7B2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35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047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376,062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7F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8E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74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CF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394,971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93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CE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AED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221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394,971 </w:t>
            </w:r>
          </w:p>
        </w:tc>
      </w:tr>
      <w:tr w:rsidR="00953A86" w:rsidRPr="00953A86" w14:paraId="751886A8" w14:textId="77777777" w:rsidTr="00450D9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3D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629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5C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7F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2F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BB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C4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A8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8D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08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3E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82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53A86" w:rsidRPr="00953A86" w14:paraId="4305E5BB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34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3987EE" w14:textId="77777777" w:rsidR="00953A86" w:rsidRPr="00953A86" w:rsidRDefault="00953A86" w:rsidP="00953A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KVD Multiple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DD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8CC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266,040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8C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30D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29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61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266,040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B2C8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EA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4F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AA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266,040 </w:t>
            </w:r>
          </w:p>
        </w:tc>
      </w:tr>
      <w:tr w:rsidR="00953A86" w:rsidRPr="00953A86" w14:paraId="466A2F3B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CC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6F47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A20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4B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177,125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3D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A24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D4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AE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177,125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50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0312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F3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PV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CV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584C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177,125 </w:t>
            </w:r>
          </w:p>
        </w:tc>
      </w:tr>
      <w:tr w:rsidR="00953A86" w:rsidRPr="00953A86" w14:paraId="0EFCE4CD" w14:textId="77777777" w:rsidTr="00450D9C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92E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7163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E2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NOPLAT/FMM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2B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245,145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703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40F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AF6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E59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264,054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AAD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E57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FC5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VAL</w:t>
            </w:r>
            <w:r w:rsidRPr="00953A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FCF/FMM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58B" w14:textId="77777777" w:rsidR="00953A86" w:rsidRPr="00953A86" w:rsidRDefault="00953A86" w:rsidP="00953A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3A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264,054 </w:t>
            </w:r>
          </w:p>
        </w:tc>
      </w:tr>
    </w:tbl>
    <w:p w14:paraId="5DC8F7AC" w14:textId="60F52B2C" w:rsidR="00471BC7" w:rsidRDefault="00471BC7"/>
    <w:sectPr w:rsidR="00471BC7" w:rsidSect="00953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65DC" w14:textId="77777777" w:rsidR="00953A86" w:rsidRDefault="00953A86" w:rsidP="0022292B">
      <w:pPr>
        <w:spacing w:after="0" w:line="240" w:lineRule="auto"/>
      </w:pPr>
      <w:r>
        <w:separator/>
      </w:r>
    </w:p>
  </w:endnote>
  <w:endnote w:type="continuationSeparator" w:id="0">
    <w:p w14:paraId="4A7450D0" w14:textId="77777777" w:rsidR="00953A86" w:rsidRDefault="00953A86" w:rsidP="0022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7D89E" w14:textId="77777777" w:rsidR="00953A86" w:rsidRDefault="00953A86" w:rsidP="0022292B">
      <w:pPr>
        <w:spacing w:after="0" w:line="240" w:lineRule="auto"/>
      </w:pPr>
      <w:r>
        <w:separator/>
      </w:r>
    </w:p>
  </w:footnote>
  <w:footnote w:type="continuationSeparator" w:id="0">
    <w:p w14:paraId="4013909D" w14:textId="77777777" w:rsidR="00953A86" w:rsidRDefault="00953A86" w:rsidP="0022292B">
      <w:pPr>
        <w:spacing w:after="0" w:line="240" w:lineRule="auto"/>
      </w:pPr>
      <w:r>
        <w:continuationSeparator/>
      </w:r>
    </w:p>
  </w:footnote>
  <w:footnote w:id="1">
    <w:p w14:paraId="4431769F" w14:textId="6766ADF2" w:rsidR="00CC480C" w:rsidRPr="00D95D46" w:rsidRDefault="00CC480C" w:rsidP="00CC480C">
      <w:pPr>
        <w:pStyle w:val="FootnoteText"/>
        <w:rPr>
          <w:sz w:val="16"/>
          <w:szCs w:val="16"/>
        </w:rPr>
      </w:pPr>
      <w:r w:rsidRPr="00D95D46">
        <w:rPr>
          <w:rStyle w:val="FootnoteReference"/>
          <w:sz w:val="16"/>
          <w:szCs w:val="16"/>
        </w:rPr>
        <w:footnoteRef/>
      </w:r>
      <w:r w:rsidRPr="00D95D46">
        <w:rPr>
          <w:sz w:val="16"/>
          <w:szCs w:val="16"/>
        </w:rPr>
        <w:t xml:space="preserve"> This problem set is for illustrative purposes only and in no way suggests or infers any relationship or association with </w:t>
      </w:r>
      <w:r>
        <w:rPr>
          <w:sz w:val="16"/>
          <w:szCs w:val="16"/>
        </w:rPr>
        <w:t>Johnson and Johnson</w:t>
      </w:r>
      <w:r w:rsidRPr="00D95D46">
        <w:rPr>
          <w:sz w:val="16"/>
          <w:szCs w:val="16"/>
        </w:rPr>
        <w:t>, a publically</w:t>
      </w:r>
      <w:r>
        <w:rPr>
          <w:sz w:val="16"/>
          <w:szCs w:val="16"/>
        </w:rPr>
        <w:t>-</w:t>
      </w:r>
      <w:r w:rsidRPr="00D95D46">
        <w:rPr>
          <w:sz w:val="16"/>
          <w:szCs w:val="16"/>
        </w:rPr>
        <w:t>held</w:t>
      </w:r>
      <w:r>
        <w:rPr>
          <w:sz w:val="16"/>
          <w:szCs w:val="16"/>
        </w:rPr>
        <w:t>,</w:t>
      </w:r>
      <w:r w:rsidRPr="00D95D46">
        <w:rPr>
          <w:sz w:val="16"/>
          <w:szCs w:val="16"/>
        </w:rPr>
        <w:t xml:space="preserve"> domestic firm trading in the US capital markets.  The data used in the problem set is culled from the </w:t>
      </w:r>
      <w:r>
        <w:rPr>
          <w:sz w:val="16"/>
          <w:szCs w:val="16"/>
        </w:rPr>
        <w:t>Johnson and Johnson</w:t>
      </w:r>
      <w:r>
        <w:rPr>
          <w:sz w:val="16"/>
          <w:szCs w:val="16"/>
        </w:rPr>
        <w:t xml:space="preserve"> </w:t>
      </w:r>
      <w:r w:rsidRPr="00D95D46">
        <w:rPr>
          <w:sz w:val="16"/>
          <w:szCs w:val="16"/>
        </w:rPr>
        <w:t>201</w:t>
      </w:r>
      <w:r>
        <w:rPr>
          <w:sz w:val="16"/>
          <w:szCs w:val="16"/>
        </w:rPr>
        <w:t>6</w:t>
      </w:r>
      <w:r w:rsidRPr="00D95D46">
        <w:rPr>
          <w:sz w:val="16"/>
          <w:szCs w:val="16"/>
        </w:rPr>
        <w:t xml:space="preserve"> Annual Report</w:t>
      </w:r>
      <w:r>
        <w:rPr>
          <w:sz w:val="16"/>
          <w:szCs w:val="16"/>
        </w:rPr>
        <w:t xml:space="preserve">, </w:t>
      </w:r>
      <w:r w:rsidRPr="00D95D46">
        <w:rPr>
          <w:sz w:val="16"/>
          <w:szCs w:val="16"/>
        </w:rPr>
        <w:t>FactSet</w:t>
      </w:r>
      <w:r>
        <w:rPr>
          <w:sz w:val="16"/>
          <w:szCs w:val="16"/>
        </w:rPr>
        <w:t>, and Bloomberg Systems Inc.</w:t>
      </w:r>
    </w:p>
  </w:footnote>
  <w:footnote w:id="2">
    <w:p w14:paraId="38A09D22" w14:textId="77777777" w:rsidR="00CC480C" w:rsidRPr="00D95D46" w:rsidRDefault="00CC480C" w:rsidP="00CC480C">
      <w:pPr>
        <w:pStyle w:val="FootnoteText"/>
        <w:rPr>
          <w:sz w:val="16"/>
          <w:szCs w:val="16"/>
        </w:rPr>
      </w:pPr>
      <w:r w:rsidRPr="00D95D46">
        <w:rPr>
          <w:rStyle w:val="FootnoteReference"/>
          <w:sz w:val="16"/>
          <w:szCs w:val="16"/>
        </w:rPr>
        <w:footnoteRef/>
      </w:r>
      <w:r w:rsidRPr="00D95D46">
        <w:rPr>
          <w:sz w:val="16"/>
          <w:szCs w:val="16"/>
        </w:rPr>
        <w:t xml:space="preserve"> This problem set was prepar</w:t>
      </w:r>
      <w:r>
        <w:rPr>
          <w:sz w:val="16"/>
          <w:szCs w:val="16"/>
        </w:rPr>
        <w:t>ed by Richard Haskell, PhD, Associate</w:t>
      </w:r>
      <w:r w:rsidRPr="00D95D46">
        <w:rPr>
          <w:sz w:val="16"/>
          <w:szCs w:val="16"/>
        </w:rPr>
        <w:t xml:space="preserve"> Professor of Finance, Gore School of Business, Westminster College, Salt Lake City, Utah, </w:t>
      </w:r>
      <w:r>
        <w:rPr>
          <w:sz w:val="16"/>
          <w:szCs w:val="16"/>
        </w:rPr>
        <w:t>April 2017</w:t>
      </w:r>
      <w:r w:rsidRPr="00D95D46">
        <w:rPr>
          <w:sz w:val="16"/>
          <w:szCs w:val="16"/>
        </w:rPr>
        <w:t xml:space="preserve">.  </w:t>
      </w:r>
      <w:hyperlink r:id="rId1" w:history="1">
        <w:r w:rsidRPr="00D95D46">
          <w:rPr>
            <w:rStyle w:val="Hyperlink"/>
            <w:sz w:val="16"/>
            <w:szCs w:val="16"/>
          </w:rPr>
          <w:t>rhaskell@westminstercollege.edu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D9D"/>
    <w:multiLevelType w:val="hybridMultilevel"/>
    <w:tmpl w:val="FA1C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F4A18"/>
    <w:multiLevelType w:val="hybridMultilevel"/>
    <w:tmpl w:val="8B8E3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C3A22"/>
    <w:multiLevelType w:val="hybridMultilevel"/>
    <w:tmpl w:val="C21C1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NeedToUniquify" w:val="false"/>
    <w:docVar w:name="APWAFVersion" w:val="5.0"/>
  </w:docVars>
  <w:rsids>
    <w:rsidRoot w:val="00471BC7"/>
    <w:rsid w:val="0000608E"/>
    <w:rsid w:val="00007E56"/>
    <w:rsid w:val="000143BA"/>
    <w:rsid w:val="00020A60"/>
    <w:rsid w:val="0004323D"/>
    <w:rsid w:val="00047144"/>
    <w:rsid w:val="00055725"/>
    <w:rsid w:val="00067CAF"/>
    <w:rsid w:val="00076429"/>
    <w:rsid w:val="000943D3"/>
    <w:rsid w:val="00097947"/>
    <w:rsid w:val="000A1A61"/>
    <w:rsid w:val="000A6ED2"/>
    <w:rsid w:val="000A7182"/>
    <w:rsid w:val="000D4C61"/>
    <w:rsid w:val="000E6951"/>
    <w:rsid w:val="00102C75"/>
    <w:rsid w:val="0011068E"/>
    <w:rsid w:val="00122E81"/>
    <w:rsid w:val="00141CAB"/>
    <w:rsid w:val="00150A24"/>
    <w:rsid w:val="00167221"/>
    <w:rsid w:val="00180627"/>
    <w:rsid w:val="00183B21"/>
    <w:rsid w:val="001911E5"/>
    <w:rsid w:val="00192490"/>
    <w:rsid w:val="001B62E9"/>
    <w:rsid w:val="001D379F"/>
    <w:rsid w:val="001E1E69"/>
    <w:rsid w:val="001F0098"/>
    <w:rsid w:val="00203259"/>
    <w:rsid w:val="00211682"/>
    <w:rsid w:val="0022292B"/>
    <w:rsid w:val="00241DDB"/>
    <w:rsid w:val="002545E4"/>
    <w:rsid w:val="002804C0"/>
    <w:rsid w:val="00295108"/>
    <w:rsid w:val="002A3403"/>
    <w:rsid w:val="002C32AE"/>
    <w:rsid w:val="002D2D98"/>
    <w:rsid w:val="002D41E1"/>
    <w:rsid w:val="002E7598"/>
    <w:rsid w:val="002F10C4"/>
    <w:rsid w:val="002F17D8"/>
    <w:rsid w:val="00336E86"/>
    <w:rsid w:val="003760AD"/>
    <w:rsid w:val="00391EC2"/>
    <w:rsid w:val="003973B3"/>
    <w:rsid w:val="003A037C"/>
    <w:rsid w:val="003A0EAA"/>
    <w:rsid w:val="003D339C"/>
    <w:rsid w:val="003E7CB6"/>
    <w:rsid w:val="00441815"/>
    <w:rsid w:val="00450D9C"/>
    <w:rsid w:val="00471BC7"/>
    <w:rsid w:val="0049089A"/>
    <w:rsid w:val="0049261D"/>
    <w:rsid w:val="004A4E2A"/>
    <w:rsid w:val="004B1EE4"/>
    <w:rsid w:val="004D380E"/>
    <w:rsid w:val="004D74DB"/>
    <w:rsid w:val="004E0AC2"/>
    <w:rsid w:val="004E25D4"/>
    <w:rsid w:val="004F144B"/>
    <w:rsid w:val="004F79EA"/>
    <w:rsid w:val="00503C3B"/>
    <w:rsid w:val="00513CBC"/>
    <w:rsid w:val="00533C1C"/>
    <w:rsid w:val="0053531C"/>
    <w:rsid w:val="00541278"/>
    <w:rsid w:val="00562186"/>
    <w:rsid w:val="00574922"/>
    <w:rsid w:val="005774BC"/>
    <w:rsid w:val="00584C1C"/>
    <w:rsid w:val="00593EE2"/>
    <w:rsid w:val="00594E4D"/>
    <w:rsid w:val="005A151B"/>
    <w:rsid w:val="005A4C77"/>
    <w:rsid w:val="005D01E3"/>
    <w:rsid w:val="005D2C1B"/>
    <w:rsid w:val="005E28B0"/>
    <w:rsid w:val="006025CC"/>
    <w:rsid w:val="006058A9"/>
    <w:rsid w:val="00606884"/>
    <w:rsid w:val="00621B28"/>
    <w:rsid w:val="006459C8"/>
    <w:rsid w:val="00647C86"/>
    <w:rsid w:val="006659F1"/>
    <w:rsid w:val="0067362C"/>
    <w:rsid w:val="00686E87"/>
    <w:rsid w:val="00691C04"/>
    <w:rsid w:val="006A36BD"/>
    <w:rsid w:val="006A7AD5"/>
    <w:rsid w:val="006E145F"/>
    <w:rsid w:val="006F2EDF"/>
    <w:rsid w:val="00711675"/>
    <w:rsid w:val="00721427"/>
    <w:rsid w:val="00732493"/>
    <w:rsid w:val="007477DB"/>
    <w:rsid w:val="00783063"/>
    <w:rsid w:val="00793FDD"/>
    <w:rsid w:val="007A2745"/>
    <w:rsid w:val="007A3697"/>
    <w:rsid w:val="007A6D20"/>
    <w:rsid w:val="007C59B2"/>
    <w:rsid w:val="007E1F6A"/>
    <w:rsid w:val="007F6A87"/>
    <w:rsid w:val="00806D48"/>
    <w:rsid w:val="0081075F"/>
    <w:rsid w:val="0081603B"/>
    <w:rsid w:val="008525CB"/>
    <w:rsid w:val="00856284"/>
    <w:rsid w:val="00860AC3"/>
    <w:rsid w:val="008A0ECF"/>
    <w:rsid w:val="008A34AA"/>
    <w:rsid w:val="008C7137"/>
    <w:rsid w:val="008F72E7"/>
    <w:rsid w:val="00914749"/>
    <w:rsid w:val="0091676E"/>
    <w:rsid w:val="009216F2"/>
    <w:rsid w:val="009433FD"/>
    <w:rsid w:val="00950FC5"/>
    <w:rsid w:val="00953A86"/>
    <w:rsid w:val="0096315C"/>
    <w:rsid w:val="00975B2D"/>
    <w:rsid w:val="009B4A6A"/>
    <w:rsid w:val="009C0537"/>
    <w:rsid w:val="009D53B7"/>
    <w:rsid w:val="009E171E"/>
    <w:rsid w:val="009F03D9"/>
    <w:rsid w:val="009F4367"/>
    <w:rsid w:val="00A02BDE"/>
    <w:rsid w:val="00A11087"/>
    <w:rsid w:val="00A2023B"/>
    <w:rsid w:val="00A4143D"/>
    <w:rsid w:val="00A648D3"/>
    <w:rsid w:val="00A71B5A"/>
    <w:rsid w:val="00AA0786"/>
    <w:rsid w:val="00AB4F30"/>
    <w:rsid w:val="00AD3AE5"/>
    <w:rsid w:val="00AF0C11"/>
    <w:rsid w:val="00B27900"/>
    <w:rsid w:val="00B55D92"/>
    <w:rsid w:val="00B74621"/>
    <w:rsid w:val="00B81329"/>
    <w:rsid w:val="00B97EBB"/>
    <w:rsid w:val="00BD7EA0"/>
    <w:rsid w:val="00BE1526"/>
    <w:rsid w:val="00BE4E06"/>
    <w:rsid w:val="00BF4A5D"/>
    <w:rsid w:val="00C05E35"/>
    <w:rsid w:val="00C065E2"/>
    <w:rsid w:val="00C24F73"/>
    <w:rsid w:val="00C557DD"/>
    <w:rsid w:val="00C6549E"/>
    <w:rsid w:val="00C75FBB"/>
    <w:rsid w:val="00C8008E"/>
    <w:rsid w:val="00C93610"/>
    <w:rsid w:val="00CB66B7"/>
    <w:rsid w:val="00CC2B6F"/>
    <w:rsid w:val="00CC480C"/>
    <w:rsid w:val="00CD1BA3"/>
    <w:rsid w:val="00CD3045"/>
    <w:rsid w:val="00CF05E3"/>
    <w:rsid w:val="00D0395F"/>
    <w:rsid w:val="00D4169E"/>
    <w:rsid w:val="00D47340"/>
    <w:rsid w:val="00D60218"/>
    <w:rsid w:val="00D63F62"/>
    <w:rsid w:val="00D80F09"/>
    <w:rsid w:val="00D84E75"/>
    <w:rsid w:val="00D8547C"/>
    <w:rsid w:val="00DB7EEA"/>
    <w:rsid w:val="00DF0657"/>
    <w:rsid w:val="00DF0A72"/>
    <w:rsid w:val="00E03A80"/>
    <w:rsid w:val="00E055E1"/>
    <w:rsid w:val="00E13198"/>
    <w:rsid w:val="00E13B16"/>
    <w:rsid w:val="00E25B84"/>
    <w:rsid w:val="00E35223"/>
    <w:rsid w:val="00E42689"/>
    <w:rsid w:val="00E5142B"/>
    <w:rsid w:val="00E65966"/>
    <w:rsid w:val="00EB51E5"/>
    <w:rsid w:val="00EC3F76"/>
    <w:rsid w:val="00EC664C"/>
    <w:rsid w:val="00EF3AF3"/>
    <w:rsid w:val="00F00A54"/>
    <w:rsid w:val="00F00BA0"/>
    <w:rsid w:val="00F24A77"/>
    <w:rsid w:val="00F3307F"/>
    <w:rsid w:val="00F334B7"/>
    <w:rsid w:val="00F37F93"/>
    <w:rsid w:val="00F453A2"/>
    <w:rsid w:val="00F54A89"/>
    <w:rsid w:val="00F602E9"/>
    <w:rsid w:val="00F66854"/>
    <w:rsid w:val="00F70A15"/>
    <w:rsid w:val="00F95949"/>
    <w:rsid w:val="00FC368D"/>
    <w:rsid w:val="00FC49FD"/>
    <w:rsid w:val="00FD1450"/>
    <w:rsid w:val="00FD756A"/>
    <w:rsid w:val="00FF4648"/>
    <w:rsid w:val="00FF6291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5E4E"/>
  <w15:chartTrackingRefBased/>
  <w15:docId w15:val="{A75796F2-7B03-4C42-8177-798F4B4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9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haskell@westminster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2</cp:revision>
  <cp:lastPrinted>2017-04-26T16:21:00Z</cp:lastPrinted>
  <dcterms:created xsi:type="dcterms:W3CDTF">2017-05-10T23:24:00Z</dcterms:created>
  <dcterms:modified xsi:type="dcterms:W3CDTF">2017-05-10T23:24:00Z</dcterms:modified>
</cp:coreProperties>
</file>